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DF8EE" w14:textId="31586F4C" w:rsidR="00477184" w:rsidRPr="00477184" w:rsidRDefault="00477184" w:rsidP="00477184">
      <w:pPr>
        <w:spacing w:after="160" w:line="259" w:lineRule="auto"/>
        <w:ind w:firstLine="0"/>
        <w:jc w:val="center"/>
        <w:rPr>
          <w:rFonts w:eastAsiaTheme="minorHAnsi" w:cs="Arial"/>
          <w:b/>
          <w:sz w:val="28"/>
          <w:szCs w:val="28"/>
          <w:lang w:eastAsia="en-US"/>
        </w:rPr>
      </w:pPr>
      <w:r w:rsidRPr="00477184">
        <w:rPr>
          <w:rFonts w:eastAsiaTheme="minorHAnsi" w:cs="Arial"/>
          <w:b/>
          <w:sz w:val="28"/>
          <w:szCs w:val="28"/>
          <w:lang w:eastAsia="en-US"/>
        </w:rPr>
        <w:t>TURISMO, 7,3 MILIONI GLI ITALIANI IN VIAGGIO (+6,1%)</w:t>
      </w:r>
    </w:p>
    <w:p w14:paraId="36F37470" w14:textId="28B27EE8" w:rsidR="00477184" w:rsidRPr="00477184" w:rsidRDefault="00477184" w:rsidP="00477184">
      <w:pPr>
        <w:spacing w:after="160" w:line="259" w:lineRule="auto"/>
        <w:ind w:firstLine="0"/>
        <w:jc w:val="center"/>
        <w:rPr>
          <w:rFonts w:eastAsiaTheme="minorHAnsi" w:cs="Arial"/>
          <w:b/>
          <w:sz w:val="28"/>
          <w:szCs w:val="28"/>
          <w:lang w:eastAsia="en-US"/>
        </w:rPr>
      </w:pPr>
      <w:r w:rsidRPr="00477184">
        <w:rPr>
          <w:rFonts w:eastAsiaTheme="minorHAnsi" w:cs="Arial"/>
          <w:b/>
          <w:sz w:val="28"/>
          <w:szCs w:val="28"/>
          <w:lang w:eastAsia="en-US"/>
        </w:rPr>
        <w:t>PER IL “PONTE” DELL’IMMACOLATA</w:t>
      </w:r>
    </w:p>
    <w:p w14:paraId="34C6CC72" w14:textId="18F97A34" w:rsidR="00477184" w:rsidRPr="00477184" w:rsidRDefault="00477184" w:rsidP="00477184">
      <w:pPr>
        <w:spacing w:after="160" w:line="259" w:lineRule="auto"/>
        <w:ind w:firstLine="0"/>
        <w:jc w:val="center"/>
        <w:rPr>
          <w:rFonts w:eastAsiaTheme="minorHAnsi" w:cs="Arial"/>
          <w:b/>
          <w:sz w:val="28"/>
          <w:szCs w:val="28"/>
          <w:lang w:eastAsia="en-US"/>
        </w:rPr>
      </w:pPr>
      <w:r w:rsidRPr="00477184">
        <w:rPr>
          <w:rFonts w:eastAsiaTheme="minorHAnsi" w:cs="Arial"/>
          <w:b/>
          <w:sz w:val="28"/>
          <w:szCs w:val="28"/>
          <w:lang w:eastAsia="en-US"/>
        </w:rPr>
        <w:t>GIRO D’AFFARI 2,5</w:t>
      </w:r>
      <w:r w:rsidR="00585409">
        <w:rPr>
          <w:rFonts w:eastAsiaTheme="minorHAnsi" w:cs="Arial"/>
          <w:b/>
          <w:sz w:val="28"/>
          <w:szCs w:val="28"/>
          <w:lang w:eastAsia="en-US"/>
        </w:rPr>
        <w:t xml:space="preserve"> </w:t>
      </w:r>
      <w:r w:rsidRPr="00477184">
        <w:rPr>
          <w:rFonts w:eastAsiaTheme="minorHAnsi" w:cs="Arial"/>
          <w:b/>
          <w:sz w:val="28"/>
          <w:szCs w:val="28"/>
          <w:lang w:eastAsia="en-US"/>
        </w:rPr>
        <w:t>MLD DI EURO (+25%)</w:t>
      </w:r>
    </w:p>
    <w:p w14:paraId="499E107F" w14:textId="77777777" w:rsidR="00477184" w:rsidRPr="00477184" w:rsidRDefault="00477184" w:rsidP="00477184">
      <w:pPr>
        <w:spacing w:after="160" w:line="259" w:lineRule="auto"/>
        <w:ind w:firstLine="0"/>
        <w:jc w:val="center"/>
        <w:rPr>
          <w:rFonts w:eastAsiaTheme="minorHAnsi" w:cs="Arial"/>
          <w:b/>
          <w:sz w:val="32"/>
          <w:szCs w:val="32"/>
          <w:lang w:eastAsia="en-US"/>
        </w:rPr>
      </w:pPr>
      <w:r w:rsidRPr="00477184">
        <w:rPr>
          <w:rFonts w:eastAsiaTheme="minorHAnsi" w:cs="Arial"/>
          <w:b/>
          <w:sz w:val="28"/>
          <w:szCs w:val="28"/>
          <w:lang w:eastAsia="en-US"/>
        </w:rPr>
        <w:t>BOCCA:</w:t>
      </w:r>
      <w:bookmarkStart w:id="0" w:name="_GoBack"/>
      <w:bookmarkEnd w:id="0"/>
      <w:r w:rsidRPr="00477184">
        <w:rPr>
          <w:rFonts w:eastAsiaTheme="minorHAnsi" w:cs="Arial"/>
          <w:b/>
          <w:sz w:val="28"/>
          <w:szCs w:val="28"/>
          <w:lang w:eastAsia="en-US"/>
        </w:rPr>
        <w:t xml:space="preserve"> “IL TREND DI CRESCITA RACCONTA UN PAESE CHE NON SI FERMA”</w:t>
      </w:r>
    </w:p>
    <w:p w14:paraId="1AAF5461" w14:textId="0B784AFC" w:rsidR="00477184" w:rsidRPr="00585409" w:rsidRDefault="00477184" w:rsidP="00477184">
      <w:pPr>
        <w:rPr>
          <w:rFonts w:cs="Arial"/>
          <w:sz w:val="22"/>
          <w:szCs w:val="22"/>
        </w:rPr>
      </w:pPr>
      <w:r w:rsidRPr="00585409">
        <w:rPr>
          <w:rFonts w:cs="Arial"/>
          <w:sz w:val="22"/>
          <w:szCs w:val="22"/>
        </w:rPr>
        <w:t xml:space="preserve">&lt;&lt;Saranno più di sette milioni gli italiani in viaggio per il “ponte” dell’8 dicembre, con un aumento di oltre il 6 per cento rispetto allo stesso periodo dello scorso anno. Accogliamo con entusiasmo la previsione positiva della festività dell’Immacolata. Aumenta anche il numero di coloro che soggiorneranno in hotel, il che rappresenta un forte incentivo per il nostro settore&gt;&gt;. </w:t>
      </w:r>
    </w:p>
    <w:p w14:paraId="20E16A2F" w14:textId="77777777" w:rsidR="00477184" w:rsidRPr="00585409" w:rsidRDefault="00477184" w:rsidP="00477184">
      <w:pPr>
        <w:rPr>
          <w:rFonts w:cs="Arial"/>
          <w:sz w:val="22"/>
          <w:szCs w:val="22"/>
        </w:rPr>
      </w:pPr>
    </w:p>
    <w:p w14:paraId="5344D133" w14:textId="02B34F3D" w:rsidR="00477184" w:rsidRPr="00585409" w:rsidRDefault="00477184" w:rsidP="00477184">
      <w:pPr>
        <w:rPr>
          <w:rFonts w:cs="Arial"/>
          <w:sz w:val="22"/>
          <w:szCs w:val="22"/>
        </w:rPr>
      </w:pPr>
      <w:r w:rsidRPr="00585409">
        <w:rPr>
          <w:rFonts w:cs="Arial"/>
          <w:sz w:val="22"/>
          <w:szCs w:val="22"/>
        </w:rPr>
        <w:t>Questo il commento del presidente di Federalberghi, Bernabò Bocca, alla lettura dei risultati di un’indagine previsionale svolta dalla Federazione con il supporto tecnico dell’Istituto ACS Marketing Solutions.</w:t>
      </w:r>
    </w:p>
    <w:p w14:paraId="33F3998C" w14:textId="77777777" w:rsidR="00477184" w:rsidRPr="00585409" w:rsidRDefault="00477184" w:rsidP="00477184">
      <w:pPr>
        <w:rPr>
          <w:rFonts w:cs="Arial"/>
          <w:sz w:val="22"/>
          <w:szCs w:val="22"/>
        </w:rPr>
      </w:pPr>
    </w:p>
    <w:p w14:paraId="121A61B4" w14:textId="23566728" w:rsidR="00477184" w:rsidRPr="00585409" w:rsidRDefault="00477184" w:rsidP="00477184">
      <w:pPr>
        <w:rPr>
          <w:rFonts w:cs="Arial"/>
          <w:sz w:val="22"/>
          <w:szCs w:val="22"/>
        </w:rPr>
      </w:pPr>
      <w:bookmarkStart w:id="1" w:name="_Hlk500257630"/>
      <w:r w:rsidRPr="00585409">
        <w:rPr>
          <w:rFonts w:cs="Arial"/>
          <w:sz w:val="22"/>
          <w:szCs w:val="22"/>
        </w:rPr>
        <w:t>&lt;&lt;</w:t>
      </w:r>
      <w:bookmarkEnd w:id="1"/>
      <w:r w:rsidRPr="00585409">
        <w:rPr>
          <w:rFonts w:cs="Arial"/>
          <w:sz w:val="22"/>
          <w:szCs w:val="22"/>
        </w:rPr>
        <w:t>Il fatto che la festività dell’8 dicembre cada nella giornata di venerdì – afferma Bocca –costituisce un incentivo alla vacanza. Va inoltre detto che il movimento che ruota attorno alla festività dell’Immacolata è un elemento di valutazione importante per immaginare l’andamento del prossimo Natale: ad oggi tutto fa pensare che la buona performance si manterrà anche per la fine dell’anno&gt;&gt;.</w:t>
      </w:r>
    </w:p>
    <w:p w14:paraId="44C02519" w14:textId="77777777" w:rsidR="00477184" w:rsidRPr="00585409" w:rsidRDefault="00477184" w:rsidP="00477184">
      <w:pPr>
        <w:rPr>
          <w:rFonts w:cs="Arial"/>
          <w:sz w:val="22"/>
          <w:szCs w:val="22"/>
        </w:rPr>
      </w:pPr>
    </w:p>
    <w:p w14:paraId="1922F782" w14:textId="1A5C196F" w:rsidR="00477184" w:rsidRPr="00585409" w:rsidRDefault="00477184" w:rsidP="00477184">
      <w:pPr>
        <w:rPr>
          <w:rFonts w:cs="Arial"/>
          <w:sz w:val="22"/>
          <w:szCs w:val="22"/>
        </w:rPr>
      </w:pPr>
      <w:r w:rsidRPr="00585409">
        <w:rPr>
          <w:rFonts w:cs="Arial"/>
          <w:sz w:val="22"/>
          <w:szCs w:val="22"/>
        </w:rPr>
        <w:t>&lt;&lt;Il trend di crescita – sottolinea Bocca - racconta un Paese che non si ferma, che torna a credere nella ripresa, che considera il viaggio come un bene primario e investe su di esso. Tale tendenza – conclude il presidente di Federalberghi - va assecondata e doverosamente rafforzata, promuovendo politiche adeguate. Federalberghi, in vista della prossima legislatura, ha predisposto un manifesto con più di ottanta misure, per favorire l’attivazione di nuovi investimenti e l’espansione della base occupazionale</w:t>
      </w:r>
      <w:bookmarkStart w:id="2" w:name="_Hlk500257647"/>
      <w:r w:rsidRPr="00585409">
        <w:rPr>
          <w:rFonts w:cs="Arial"/>
          <w:sz w:val="22"/>
          <w:szCs w:val="22"/>
        </w:rPr>
        <w:t>&gt;&gt;</w:t>
      </w:r>
      <w:bookmarkEnd w:id="2"/>
      <w:r w:rsidRPr="00585409">
        <w:rPr>
          <w:rFonts w:cs="Arial"/>
          <w:sz w:val="22"/>
          <w:szCs w:val="22"/>
        </w:rPr>
        <w:t>.</w:t>
      </w:r>
    </w:p>
    <w:p w14:paraId="5A4879A2" w14:textId="77777777" w:rsidR="00477184" w:rsidRPr="00585409" w:rsidRDefault="00477184" w:rsidP="00477184">
      <w:pPr>
        <w:rPr>
          <w:rFonts w:cs="Arial"/>
          <w:sz w:val="22"/>
          <w:szCs w:val="22"/>
        </w:rPr>
      </w:pPr>
    </w:p>
    <w:p w14:paraId="11985A48" w14:textId="296F328A" w:rsidR="00477184" w:rsidRPr="00585409" w:rsidRDefault="00477184" w:rsidP="00477184">
      <w:pPr>
        <w:rPr>
          <w:rFonts w:cs="Arial"/>
          <w:sz w:val="22"/>
          <w:szCs w:val="22"/>
        </w:rPr>
      </w:pPr>
      <w:r w:rsidRPr="00585409">
        <w:rPr>
          <w:rFonts w:cs="Arial"/>
          <w:sz w:val="22"/>
          <w:szCs w:val="22"/>
        </w:rPr>
        <w:t>La ricerca rileva 7 milioni e 329 mila italiani in viaggio per il ponte dell’Immacolata (di cui 5 milioni 471 mila maggiorenni e 1 milione 858 mila minorenni), in crescita del 6,1% rispetto allo scorso anno. I vacanzieri trascorreranno circa 3,2 notti fuori casa con una spesa per ogni membro della famiglia (comprensiva di trasporto, vitto, alloggio e divertimenti) che cresce dai 294 euro del 2016 ai 340 euro dell’anno in corso. Il giro di affari previsto corrisponde a circa 2,5 miliardi di euro (2 miliardi nel 2016).</w:t>
      </w:r>
    </w:p>
    <w:p w14:paraId="29F2A72F" w14:textId="77777777" w:rsidR="00477184" w:rsidRPr="00585409" w:rsidRDefault="00477184" w:rsidP="00477184">
      <w:pPr>
        <w:rPr>
          <w:rFonts w:cs="Arial"/>
          <w:sz w:val="22"/>
          <w:szCs w:val="22"/>
        </w:rPr>
      </w:pPr>
    </w:p>
    <w:p w14:paraId="1CCC41EB" w14:textId="77777777" w:rsidR="00477184" w:rsidRPr="00585409" w:rsidRDefault="00477184" w:rsidP="00477184">
      <w:pPr>
        <w:rPr>
          <w:rFonts w:cs="Arial"/>
          <w:sz w:val="22"/>
          <w:szCs w:val="22"/>
        </w:rPr>
      </w:pPr>
      <w:r w:rsidRPr="00585409">
        <w:rPr>
          <w:rFonts w:cs="Arial"/>
          <w:sz w:val="22"/>
          <w:szCs w:val="22"/>
        </w:rPr>
        <w:t xml:space="preserve">Per coloro che resteranno in Italia, in testa alla classifica tengono le località d’arte, seguite dalla montagna, dalle località di mare, di lago e dalle zone termali.  Chi andrà all’estero invece, sceglierà come destinazione le grandi capitali, europee ed extraeuropee, e le località montane d’oltralpe. </w:t>
      </w:r>
    </w:p>
    <w:p w14:paraId="63098BF7" w14:textId="5D0481C0" w:rsidR="00477184" w:rsidRPr="00585409" w:rsidRDefault="00477184" w:rsidP="00477184">
      <w:pPr>
        <w:rPr>
          <w:rFonts w:cs="Arial"/>
          <w:sz w:val="22"/>
          <w:szCs w:val="22"/>
        </w:rPr>
      </w:pPr>
      <w:r w:rsidRPr="00585409">
        <w:rPr>
          <w:rFonts w:cs="Arial"/>
          <w:sz w:val="22"/>
          <w:szCs w:val="22"/>
        </w:rPr>
        <w:t>Quanto alla scelta della struttura ricettiva, il 25,2% preferirà l’albergo, registrando un incremento dell’8,2% rispetto allo scorso anno.</w:t>
      </w:r>
    </w:p>
    <w:p w14:paraId="10F28E20" w14:textId="77777777" w:rsidR="00477184" w:rsidRPr="00585409" w:rsidRDefault="00477184" w:rsidP="00477184">
      <w:pPr>
        <w:rPr>
          <w:rFonts w:cs="Arial"/>
          <w:sz w:val="22"/>
          <w:szCs w:val="22"/>
        </w:rPr>
      </w:pPr>
    </w:p>
    <w:p w14:paraId="004B7A65" w14:textId="44432044" w:rsidR="00477184" w:rsidRPr="00585409" w:rsidRDefault="00477184" w:rsidP="00477184">
      <w:pPr>
        <w:rPr>
          <w:rFonts w:cs="Arial"/>
          <w:sz w:val="22"/>
          <w:szCs w:val="22"/>
        </w:rPr>
      </w:pPr>
      <w:r w:rsidRPr="00585409">
        <w:rPr>
          <w:rFonts w:cs="Arial"/>
          <w:sz w:val="22"/>
          <w:szCs w:val="22"/>
        </w:rPr>
        <w:t xml:space="preserve">In merito alla modalità di scelta della vacanza, è sempre più consolidato l’uso dei social media e della rete ed è in aumento il numero delle persone che pianificano il viaggio collegandosi on line direttamente al sito della struttura ricettiva. </w:t>
      </w:r>
    </w:p>
    <w:p w14:paraId="5E39A4D9" w14:textId="77777777" w:rsidR="00477184" w:rsidRPr="00585409" w:rsidRDefault="00477184" w:rsidP="00477184">
      <w:pPr>
        <w:rPr>
          <w:rFonts w:cs="Arial"/>
          <w:sz w:val="22"/>
          <w:szCs w:val="22"/>
        </w:rPr>
      </w:pPr>
    </w:p>
    <w:p w14:paraId="6AA32B3D" w14:textId="6475F1FF" w:rsidR="00477184" w:rsidRPr="00585409" w:rsidRDefault="00477184" w:rsidP="00477184">
      <w:pPr>
        <w:jc w:val="center"/>
        <w:rPr>
          <w:rFonts w:cs="Arial"/>
          <w:b/>
          <w:sz w:val="22"/>
          <w:szCs w:val="22"/>
        </w:rPr>
      </w:pPr>
      <w:r w:rsidRPr="00585409">
        <w:rPr>
          <w:rFonts w:cs="Arial"/>
          <w:b/>
          <w:sz w:val="22"/>
          <w:szCs w:val="22"/>
        </w:rPr>
        <w:t>I RISULTATI DELL’INDAGINE</w:t>
      </w:r>
    </w:p>
    <w:p w14:paraId="1BD1A353" w14:textId="77777777" w:rsidR="00477184" w:rsidRPr="00585409" w:rsidRDefault="00477184" w:rsidP="00477184">
      <w:pPr>
        <w:jc w:val="center"/>
        <w:rPr>
          <w:rFonts w:cs="Arial"/>
          <w:b/>
          <w:sz w:val="22"/>
          <w:szCs w:val="22"/>
        </w:rPr>
      </w:pPr>
    </w:p>
    <w:p w14:paraId="7CF2D989" w14:textId="77777777" w:rsidR="00477184" w:rsidRPr="00585409" w:rsidRDefault="00477184" w:rsidP="00477184">
      <w:pPr>
        <w:rPr>
          <w:rFonts w:cs="Arial"/>
          <w:sz w:val="22"/>
          <w:szCs w:val="22"/>
        </w:rPr>
      </w:pPr>
      <w:r w:rsidRPr="002640BD">
        <w:rPr>
          <w:rFonts w:cs="Arial"/>
          <w:b/>
          <w:sz w:val="22"/>
          <w:szCs w:val="22"/>
        </w:rPr>
        <w:t>IL “PONTE” IN ITALIA O ALL’ESTERO?</w:t>
      </w:r>
      <w:r w:rsidRPr="00585409">
        <w:rPr>
          <w:rFonts w:cs="Arial"/>
          <w:sz w:val="22"/>
          <w:szCs w:val="22"/>
        </w:rPr>
        <w:t xml:space="preserve"> – Saranno circa </w:t>
      </w:r>
      <w:r w:rsidRPr="002640BD">
        <w:rPr>
          <w:rFonts w:cs="Arial"/>
          <w:b/>
          <w:sz w:val="22"/>
          <w:szCs w:val="22"/>
        </w:rPr>
        <w:t>7 milioni e 329 mila</w:t>
      </w:r>
      <w:r w:rsidRPr="00585409">
        <w:rPr>
          <w:rFonts w:cs="Arial"/>
          <w:sz w:val="22"/>
          <w:szCs w:val="22"/>
        </w:rPr>
        <w:t xml:space="preserve"> gli italiani (tra maggiorenni e minorenni) in viaggio per il ponte dell’Immacolata. </w:t>
      </w:r>
      <w:r w:rsidRPr="002640BD">
        <w:rPr>
          <w:rFonts w:cs="Arial"/>
          <w:sz w:val="22"/>
          <w:szCs w:val="22"/>
        </w:rPr>
        <w:t>L’</w:t>
      </w:r>
      <w:r w:rsidRPr="002640BD">
        <w:rPr>
          <w:rFonts w:cs="Arial"/>
          <w:b/>
          <w:sz w:val="22"/>
          <w:szCs w:val="22"/>
        </w:rPr>
        <w:t>87,9%</w:t>
      </w:r>
      <w:r w:rsidRPr="00585409">
        <w:rPr>
          <w:rFonts w:cs="Arial"/>
          <w:sz w:val="22"/>
          <w:szCs w:val="22"/>
        </w:rPr>
        <w:t xml:space="preserve"> resterà in Italia mentre l’11,2% andrà all’estero.</w:t>
      </w:r>
    </w:p>
    <w:p w14:paraId="0B905BED" w14:textId="77777777" w:rsidR="00477184" w:rsidRPr="00585409" w:rsidRDefault="00477184" w:rsidP="00477184">
      <w:pPr>
        <w:rPr>
          <w:rFonts w:cs="Arial"/>
          <w:sz w:val="22"/>
          <w:szCs w:val="22"/>
        </w:rPr>
      </w:pPr>
      <w:r w:rsidRPr="002640BD">
        <w:rPr>
          <w:rFonts w:cs="Arial"/>
          <w:b/>
          <w:sz w:val="22"/>
          <w:szCs w:val="22"/>
        </w:rPr>
        <w:t>LE LOCALITA’ PRESCELTE</w:t>
      </w:r>
      <w:r w:rsidRPr="00585409">
        <w:rPr>
          <w:rFonts w:cs="Arial"/>
          <w:sz w:val="22"/>
          <w:szCs w:val="22"/>
        </w:rPr>
        <w:t xml:space="preserve"> – Tra coloro che resteranno in Italia, il </w:t>
      </w:r>
      <w:r w:rsidRPr="002640BD">
        <w:rPr>
          <w:rFonts w:cs="Arial"/>
          <w:b/>
          <w:sz w:val="22"/>
          <w:szCs w:val="22"/>
        </w:rPr>
        <w:t>37,7%</w:t>
      </w:r>
      <w:r w:rsidRPr="00585409">
        <w:rPr>
          <w:rFonts w:cs="Arial"/>
          <w:sz w:val="22"/>
          <w:szCs w:val="22"/>
        </w:rPr>
        <w:t xml:space="preserve"> prediligerà località d’arte, il </w:t>
      </w:r>
      <w:r w:rsidRPr="002640BD">
        <w:rPr>
          <w:rFonts w:cs="Arial"/>
          <w:b/>
          <w:sz w:val="22"/>
          <w:szCs w:val="22"/>
        </w:rPr>
        <w:t>29,6%</w:t>
      </w:r>
      <w:r w:rsidRPr="00585409">
        <w:rPr>
          <w:rFonts w:cs="Arial"/>
          <w:sz w:val="22"/>
          <w:szCs w:val="22"/>
        </w:rPr>
        <w:t xml:space="preserve"> la montagna, </w:t>
      </w:r>
      <w:r w:rsidRPr="002640BD">
        <w:rPr>
          <w:rFonts w:cs="Arial"/>
          <w:sz w:val="22"/>
          <w:szCs w:val="22"/>
        </w:rPr>
        <w:t>l’</w:t>
      </w:r>
      <w:r w:rsidRPr="002640BD">
        <w:rPr>
          <w:rFonts w:cs="Arial"/>
          <w:b/>
          <w:sz w:val="22"/>
          <w:szCs w:val="22"/>
        </w:rPr>
        <w:t>8,8%</w:t>
      </w:r>
      <w:r w:rsidRPr="00585409">
        <w:rPr>
          <w:rFonts w:cs="Arial"/>
          <w:sz w:val="22"/>
          <w:szCs w:val="22"/>
        </w:rPr>
        <w:t xml:space="preserve"> andrà al mare, un </w:t>
      </w:r>
      <w:r w:rsidRPr="002640BD">
        <w:rPr>
          <w:rFonts w:cs="Arial"/>
          <w:b/>
          <w:sz w:val="22"/>
          <w:szCs w:val="22"/>
        </w:rPr>
        <w:t>4,5%</w:t>
      </w:r>
      <w:r w:rsidRPr="00585409">
        <w:rPr>
          <w:rFonts w:cs="Arial"/>
          <w:sz w:val="22"/>
          <w:szCs w:val="22"/>
        </w:rPr>
        <w:t xml:space="preserve"> preferirà i laghi, il </w:t>
      </w:r>
      <w:r w:rsidRPr="002640BD">
        <w:rPr>
          <w:rFonts w:cs="Arial"/>
          <w:b/>
          <w:sz w:val="22"/>
          <w:szCs w:val="22"/>
        </w:rPr>
        <w:t>2,9%</w:t>
      </w:r>
      <w:r w:rsidRPr="00585409">
        <w:rPr>
          <w:rFonts w:cs="Arial"/>
          <w:sz w:val="22"/>
          <w:szCs w:val="22"/>
        </w:rPr>
        <w:t xml:space="preserve"> le località termali.</w:t>
      </w:r>
    </w:p>
    <w:p w14:paraId="3C235004" w14:textId="77777777" w:rsidR="00477184" w:rsidRPr="00585409" w:rsidRDefault="00477184" w:rsidP="00477184">
      <w:pPr>
        <w:rPr>
          <w:rFonts w:cs="Arial"/>
          <w:sz w:val="22"/>
          <w:szCs w:val="22"/>
        </w:rPr>
      </w:pPr>
      <w:r w:rsidRPr="00E94B86">
        <w:rPr>
          <w:rFonts w:cs="Arial"/>
          <w:b/>
          <w:sz w:val="22"/>
          <w:szCs w:val="22"/>
        </w:rPr>
        <w:t>VACANZE ALL’ESTERO</w:t>
      </w:r>
      <w:r w:rsidRPr="00585409">
        <w:rPr>
          <w:rFonts w:cs="Arial"/>
          <w:sz w:val="22"/>
          <w:szCs w:val="22"/>
        </w:rPr>
        <w:t xml:space="preserve"> – Per coloro che sceglieranno mete estere, le grandi capitali europee saranno le più ambite, con il </w:t>
      </w:r>
      <w:r w:rsidRPr="00E94B86">
        <w:rPr>
          <w:rFonts w:cs="Arial"/>
          <w:b/>
          <w:sz w:val="22"/>
          <w:szCs w:val="22"/>
        </w:rPr>
        <w:t>66,6%</w:t>
      </w:r>
      <w:r w:rsidRPr="00585409">
        <w:rPr>
          <w:rFonts w:cs="Arial"/>
          <w:sz w:val="22"/>
          <w:szCs w:val="22"/>
        </w:rPr>
        <w:t xml:space="preserve"> della domanda complessiva. Il </w:t>
      </w:r>
      <w:r w:rsidRPr="00E94B86">
        <w:rPr>
          <w:rFonts w:cs="Arial"/>
          <w:b/>
          <w:sz w:val="22"/>
          <w:szCs w:val="22"/>
        </w:rPr>
        <w:t>10,5%</w:t>
      </w:r>
      <w:r w:rsidRPr="00585409">
        <w:rPr>
          <w:rFonts w:cs="Arial"/>
          <w:sz w:val="22"/>
          <w:szCs w:val="22"/>
        </w:rPr>
        <w:t xml:space="preserve"> prediligerà località montane d’oltralpe, il </w:t>
      </w:r>
      <w:r w:rsidRPr="00E94B86">
        <w:rPr>
          <w:rFonts w:cs="Arial"/>
          <w:b/>
          <w:sz w:val="22"/>
          <w:szCs w:val="22"/>
        </w:rPr>
        <w:t>10,1%</w:t>
      </w:r>
      <w:r w:rsidRPr="00585409">
        <w:rPr>
          <w:rFonts w:cs="Arial"/>
          <w:sz w:val="22"/>
          <w:szCs w:val="22"/>
        </w:rPr>
        <w:t xml:space="preserve"> località di mare, il </w:t>
      </w:r>
      <w:r w:rsidRPr="00E94B86">
        <w:rPr>
          <w:rFonts w:cs="Arial"/>
          <w:b/>
          <w:sz w:val="22"/>
          <w:szCs w:val="22"/>
        </w:rPr>
        <w:t>9,8%</w:t>
      </w:r>
      <w:r w:rsidRPr="00585409">
        <w:rPr>
          <w:rFonts w:cs="Arial"/>
          <w:sz w:val="22"/>
          <w:szCs w:val="22"/>
        </w:rPr>
        <w:t xml:space="preserve"> le grandi capitali extra-europee.</w:t>
      </w:r>
    </w:p>
    <w:p w14:paraId="31C176C8" w14:textId="77777777" w:rsidR="00477184" w:rsidRPr="00585409" w:rsidRDefault="00477184" w:rsidP="00477184">
      <w:pPr>
        <w:rPr>
          <w:rFonts w:cs="Arial"/>
          <w:sz w:val="22"/>
          <w:szCs w:val="22"/>
        </w:rPr>
      </w:pPr>
      <w:r w:rsidRPr="00E94B86">
        <w:rPr>
          <w:rFonts w:cs="Arial"/>
          <w:b/>
          <w:sz w:val="22"/>
          <w:szCs w:val="22"/>
        </w:rPr>
        <w:t>DOVE ALLOGGIARE</w:t>
      </w:r>
      <w:r w:rsidRPr="00585409">
        <w:rPr>
          <w:rFonts w:cs="Arial"/>
          <w:sz w:val="22"/>
          <w:szCs w:val="22"/>
        </w:rPr>
        <w:t xml:space="preserve"> – La casa di parenti/amici sarà la struttura prescelta dal </w:t>
      </w:r>
      <w:r w:rsidRPr="00E94B86">
        <w:rPr>
          <w:rFonts w:cs="Arial"/>
          <w:b/>
          <w:sz w:val="22"/>
          <w:szCs w:val="22"/>
        </w:rPr>
        <w:t>31,7%</w:t>
      </w:r>
      <w:r w:rsidRPr="00585409">
        <w:rPr>
          <w:rFonts w:cs="Arial"/>
          <w:sz w:val="22"/>
          <w:szCs w:val="22"/>
        </w:rPr>
        <w:t xml:space="preserve"> dei viaggiatori, seguita a stretto giro dal </w:t>
      </w:r>
      <w:r w:rsidRPr="00E94B86">
        <w:rPr>
          <w:rFonts w:cs="Arial"/>
          <w:b/>
          <w:sz w:val="22"/>
          <w:szCs w:val="22"/>
        </w:rPr>
        <w:t>25,2% che sceglierà l’albergo</w:t>
      </w:r>
      <w:r w:rsidRPr="00585409">
        <w:rPr>
          <w:rFonts w:cs="Arial"/>
          <w:sz w:val="22"/>
          <w:szCs w:val="22"/>
        </w:rPr>
        <w:t>, in decisa crescita rispetto al 2016 (+8,2%).</w:t>
      </w:r>
    </w:p>
    <w:p w14:paraId="65F69B83" w14:textId="77777777" w:rsidR="00477184" w:rsidRPr="00585409" w:rsidRDefault="00477184" w:rsidP="00477184">
      <w:pPr>
        <w:rPr>
          <w:rFonts w:cs="Arial"/>
          <w:sz w:val="22"/>
          <w:szCs w:val="22"/>
        </w:rPr>
      </w:pPr>
      <w:r w:rsidRPr="00E94B86">
        <w:rPr>
          <w:rFonts w:cs="Arial"/>
          <w:b/>
          <w:sz w:val="22"/>
          <w:szCs w:val="22"/>
        </w:rPr>
        <w:t>LA SPESA PER LA VACANZA</w:t>
      </w:r>
      <w:r w:rsidRPr="00585409">
        <w:rPr>
          <w:rFonts w:cs="Arial"/>
          <w:sz w:val="22"/>
          <w:szCs w:val="22"/>
        </w:rPr>
        <w:t xml:space="preserve"> – La spesa media pro-capite, comprensiva di trasporto, alloggio, cibo e divertimenti, si attesterà sui </w:t>
      </w:r>
      <w:r w:rsidRPr="00E94B86">
        <w:rPr>
          <w:rFonts w:cs="Arial"/>
          <w:b/>
          <w:sz w:val="22"/>
          <w:szCs w:val="22"/>
        </w:rPr>
        <w:t>340 euro</w:t>
      </w:r>
      <w:r w:rsidRPr="00585409">
        <w:rPr>
          <w:rFonts w:cs="Arial"/>
          <w:sz w:val="22"/>
          <w:szCs w:val="22"/>
        </w:rPr>
        <w:t xml:space="preserve"> (contro i </w:t>
      </w:r>
      <w:r w:rsidRPr="00E94B86">
        <w:rPr>
          <w:rFonts w:cs="Arial"/>
          <w:b/>
          <w:sz w:val="22"/>
          <w:szCs w:val="22"/>
        </w:rPr>
        <w:t>294</w:t>
      </w:r>
      <w:r w:rsidRPr="00585409">
        <w:rPr>
          <w:rFonts w:cs="Arial"/>
          <w:sz w:val="22"/>
          <w:szCs w:val="22"/>
        </w:rPr>
        <w:t xml:space="preserve"> euro del 2016), con un giro di affari di circa </w:t>
      </w:r>
      <w:r w:rsidRPr="00E94B86">
        <w:rPr>
          <w:rFonts w:cs="Arial"/>
          <w:b/>
          <w:sz w:val="22"/>
          <w:szCs w:val="22"/>
        </w:rPr>
        <w:t>2,5 miliardi di euro</w:t>
      </w:r>
      <w:r w:rsidRPr="00585409">
        <w:rPr>
          <w:rFonts w:cs="Arial"/>
          <w:sz w:val="22"/>
          <w:szCs w:val="22"/>
        </w:rPr>
        <w:t xml:space="preserve">. </w:t>
      </w:r>
    </w:p>
    <w:p w14:paraId="40B8EE05" w14:textId="77777777" w:rsidR="00477184" w:rsidRPr="00585409" w:rsidRDefault="00477184" w:rsidP="00477184">
      <w:pPr>
        <w:rPr>
          <w:rFonts w:cs="Arial"/>
          <w:sz w:val="22"/>
          <w:szCs w:val="22"/>
        </w:rPr>
      </w:pPr>
      <w:r w:rsidRPr="00E94B86">
        <w:rPr>
          <w:rFonts w:cs="Arial"/>
          <w:b/>
          <w:sz w:val="22"/>
          <w:szCs w:val="22"/>
        </w:rPr>
        <w:t>DURATA DEL SOGGIORNO</w:t>
      </w:r>
      <w:r w:rsidRPr="00585409">
        <w:rPr>
          <w:rFonts w:cs="Arial"/>
          <w:sz w:val="22"/>
          <w:szCs w:val="22"/>
        </w:rPr>
        <w:t xml:space="preserve"> – In media, ciascun viaggiatore trascorrerà circa </w:t>
      </w:r>
      <w:r w:rsidRPr="00E94B86">
        <w:rPr>
          <w:rFonts w:cs="Arial"/>
          <w:b/>
          <w:sz w:val="22"/>
          <w:szCs w:val="22"/>
        </w:rPr>
        <w:t xml:space="preserve">3,2 notti fuori casa </w:t>
      </w:r>
      <w:r w:rsidRPr="00585409">
        <w:rPr>
          <w:rFonts w:cs="Arial"/>
          <w:sz w:val="22"/>
          <w:szCs w:val="22"/>
        </w:rPr>
        <w:t xml:space="preserve">(3,0 nel 2016). </w:t>
      </w:r>
    </w:p>
    <w:p w14:paraId="11901235" w14:textId="10570F2D" w:rsidR="00477184" w:rsidRPr="00585409" w:rsidRDefault="00477184" w:rsidP="00477184">
      <w:pPr>
        <w:rPr>
          <w:rFonts w:cs="Arial"/>
          <w:sz w:val="22"/>
          <w:szCs w:val="22"/>
        </w:rPr>
      </w:pPr>
      <w:r w:rsidRPr="00E94B86">
        <w:rPr>
          <w:rFonts w:cs="Arial"/>
          <w:b/>
          <w:sz w:val="22"/>
          <w:szCs w:val="22"/>
        </w:rPr>
        <w:t>IL TURISMO E LA RETE</w:t>
      </w:r>
      <w:r w:rsidRPr="00585409">
        <w:rPr>
          <w:rFonts w:cs="Arial"/>
          <w:sz w:val="22"/>
          <w:szCs w:val="22"/>
        </w:rPr>
        <w:t xml:space="preserve"> –  Per ciò che riguarda la modalità di scelta della vacanza, </w:t>
      </w:r>
      <w:r w:rsidRPr="00E94B86">
        <w:rPr>
          <w:rFonts w:cs="Arial"/>
          <w:b/>
          <w:sz w:val="22"/>
          <w:szCs w:val="22"/>
        </w:rPr>
        <w:t>il 58,9% degli intervistati utilizza i social media e la rete</w:t>
      </w:r>
      <w:r w:rsidRPr="00585409">
        <w:rPr>
          <w:rFonts w:cs="Arial"/>
          <w:sz w:val="22"/>
          <w:szCs w:val="22"/>
        </w:rPr>
        <w:t xml:space="preserve"> per decidere o quantomeno informarsi sull’offerta nelle diverse località, sui prezzi e sulle strutture di interesse. Il </w:t>
      </w:r>
      <w:r w:rsidRPr="00E94B86">
        <w:rPr>
          <w:rFonts w:cs="Arial"/>
          <w:b/>
          <w:sz w:val="22"/>
          <w:szCs w:val="22"/>
        </w:rPr>
        <w:t>29,2% ha prenotato la propria vacanza rivolgendosi direttamente alla struttura ricettiva</w:t>
      </w:r>
      <w:r w:rsidRPr="00585409">
        <w:rPr>
          <w:rFonts w:cs="Arial"/>
          <w:sz w:val="22"/>
          <w:szCs w:val="22"/>
        </w:rPr>
        <w:t>, con un aumento rispetto al 28,2% registrato in occasione del ponte dell’Immacolata del 2016.</w:t>
      </w:r>
    </w:p>
    <w:p w14:paraId="76EDDD07" w14:textId="1E4551C7" w:rsidR="00585409" w:rsidRPr="00585409" w:rsidRDefault="00585409" w:rsidP="00477184">
      <w:pPr>
        <w:rPr>
          <w:rFonts w:cs="Arial"/>
          <w:sz w:val="22"/>
          <w:szCs w:val="22"/>
        </w:rPr>
      </w:pPr>
    </w:p>
    <w:p w14:paraId="256C6F87" w14:textId="20141BC6" w:rsidR="00585409" w:rsidRPr="00585409" w:rsidRDefault="00585409" w:rsidP="00585409">
      <w:pPr>
        <w:ind w:firstLine="0"/>
        <w:jc w:val="center"/>
        <w:rPr>
          <w:rFonts w:cs="Arial"/>
          <w:sz w:val="22"/>
          <w:szCs w:val="22"/>
        </w:rPr>
      </w:pPr>
      <w:r>
        <w:rPr>
          <w:rFonts w:cs="Arial"/>
          <w:noProof/>
          <w:szCs w:val="24"/>
        </w:rPr>
        <w:drawing>
          <wp:inline distT="0" distB="0" distL="0" distR="0" wp14:anchorId="3E7A3C0B" wp14:editId="725E45EA">
            <wp:extent cx="5600700" cy="3877140"/>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te 8 dicembre 2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1606" cy="3884690"/>
                    </a:xfrm>
                    <a:prstGeom prst="rect">
                      <a:avLst/>
                    </a:prstGeom>
                  </pic:spPr>
                </pic:pic>
              </a:graphicData>
            </a:graphic>
          </wp:inline>
        </w:drawing>
      </w:r>
    </w:p>
    <w:p w14:paraId="1D80DA76" w14:textId="77777777" w:rsidR="00585409" w:rsidRPr="00585409" w:rsidRDefault="00585409" w:rsidP="00477184">
      <w:pPr>
        <w:rPr>
          <w:rFonts w:cs="Arial"/>
          <w:sz w:val="22"/>
          <w:szCs w:val="22"/>
        </w:rPr>
      </w:pPr>
    </w:p>
    <w:p w14:paraId="1731F011" w14:textId="77777777" w:rsidR="00477184" w:rsidRPr="00585409" w:rsidRDefault="00477184" w:rsidP="00477184">
      <w:pPr>
        <w:rPr>
          <w:rFonts w:cs="Arial"/>
          <w:i/>
          <w:sz w:val="22"/>
          <w:szCs w:val="22"/>
        </w:rPr>
      </w:pPr>
      <w:r w:rsidRPr="00585409">
        <w:rPr>
          <w:rFonts w:cs="Arial"/>
          <w:i/>
          <w:sz w:val="22"/>
          <w:szCs w:val="22"/>
        </w:rPr>
        <w:t>L’indagine è stata effettuata dall’Istituto ACS Marketing Solutions nel periodo compreso tra il 27 e il 30 novembre intervistando con il sistema C.A.T.I. (interviste telefoniche) un campione di 3000 italiani maggiorenni, rappresentativo di oltre 50 milioni di connazionali maggiorenni. Il campione è stato costruito in modo da rispecchiare fedelmente la popolazione di riferimento, tale da includere anche i minorenni, mediante l’assegnazione di precise quote in funzione di sesso, età, Grandi Ripartizioni Geografiche ed Ampiezza Centri.</w:t>
      </w:r>
    </w:p>
    <w:sectPr w:rsidR="00477184" w:rsidRPr="00585409" w:rsidSect="00A76711">
      <w:headerReference w:type="default" r:id="rId13"/>
      <w:headerReference w:type="first" r:id="rId14"/>
      <w:footerReference w:type="first" r:id="rId15"/>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D77DA" w14:textId="77777777" w:rsidR="005E1F56" w:rsidRDefault="005E1F56" w:rsidP="00771A7A">
      <w:r>
        <w:separator/>
      </w:r>
    </w:p>
  </w:endnote>
  <w:endnote w:type="continuationSeparator" w:id="0">
    <w:p w14:paraId="45147B09" w14:textId="77777777" w:rsidR="005E1F56" w:rsidRDefault="005E1F56" w:rsidP="00771A7A">
      <w:r>
        <w:continuationSeparator/>
      </w:r>
    </w:p>
  </w:endnote>
  <w:endnote w:type="continuationNotice" w:id="1">
    <w:p w14:paraId="2A648CB8" w14:textId="77777777" w:rsidR="005E1F56" w:rsidRDefault="005E1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A083C" w14:textId="77777777" w:rsidR="003560FE" w:rsidRDefault="003560FE" w:rsidP="00E30DE6">
    <w:pPr>
      <w:ind w:firstLine="0"/>
      <w:jc w:val="center"/>
      <w:rPr>
        <w:i/>
        <w:sz w:val="18"/>
      </w:rPr>
    </w:pPr>
    <w:r>
      <w:rPr>
        <w:i/>
        <w:noProof/>
        <w:sz w:val="18"/>
      </w:rPr>
      <w:drawing>
        <wp:inline distT="0" distB="0" distL="0" distR="0" wp14:anchorId="410E208D" wp14:editId="410E208E">
          <wp:extent cx="428625" cy="428625"/>
          <wp:effectExtent l="0" t="0" r="9525" b="9525"/>
          <wp:docPr id="12" name="Immagine 12" descr="conf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tur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35DAA749" w14:textId="77777777" w:rsidR="003560FE" w:rsidRPr="00771A7A" w:rsidRDefault="003560FE" w:rsidP="00E30DE6">
    <w:pPr>
      <w:ind w:firstLine="0"/>
      <w:jc w:val="center"/>
      <w:rPr>
        <w:i/>
        <w:color w:val="003366"/>
        <w:sz w:val="18"/>
        <w:szCs w:val="18"/>
      </w:rPr>
    </w:pPr>
    <w:r>
      <w:rPr>
        <w:i/>
        <w:color w:val="003366"/>
        <w:sz w:val="18"/>
        <w:szCs w:val="18"/>
      </w:rPr>
      <w:t>v</w:t>
    </w:r>
    <w:r w:rsidRPr="007E04E3">
      <w:rPr>
        <w:i/>
        <w:color w:val="003366"/>
        <w:sz w:val="18"/>
        <w:szCs w:val="18"/>
      </w:rPr>
      <w:t xml:space="preserve">ia Toscana, 1 - 00187 Roma </w:t>
    </w:r>
    <w:r>
      <w:rPr>
        <w:i/>
        <w:color w:val="003366"/>
        <w:sz w:val="18"/>
        <w:szCs w:val="18"/>
      </w:rPr>
      <w:t>- tel. +39 06 42034610 - f</w:t>
    </w:r>
    <w:r w:rsidRPr="007E04E3">
      <w:rPr>
        <w:i/>
        <w:color w:val="003366"/>
        <w:sz w:val="18"/>
        <w:szCs w:val="18"/>
      </w:rPr>
      <w:t xml:space="preserve">ax </w:t>
    </w:r>
    <w:r>
      <w:rPr>
        <w:i/>
        <w:color w:val="003366"/>
        <w:sz w:val="18"/>
        <w:szCs w:val="18"/>
      </w:rPr>
      <w:t xml:space="preserve">+39 </w:t>
    </w:r>
    <w:r w:rsidRPr="007E04E3">
      <w:rPr>
        <w:i/>
        <w:color w:val="003366"/>
        <w:sz w:val="18"/>
        <w:szCs w:val="18"/>
      </w:rPr>
      <w:t xml:space="preserve">06 42034690 - e-mail </w:t>
    </w:r>
    <w:r>
      <w:rPr>
        <w:i/>
        <w:color w:val="003366"/>
        <w:sz w:val="18"/>
        <w:szCs w:val="18"/>
      </w:rPr>
      <w:t>info@federalberghi.it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79C0C" w14:textId="77777777" w:rsidR="005E1F56" w:rsidRDefault="005E1F56" w:rsidP="00771A7A">
      <w:r>
        <w:separator/>
      </w:r>
    </w:p>
  </w:footnote>
  <w:footnote w:type="continuationSeparator" w:id="0">
    <w:p w14:paraId="6ACD455F" w14:textId="77777777" w:rsidR="005E1F56" w:rsidRDefault="005E1F56" w:rsidP="00771A7A">
      <w:r>
        <w:continuationSeparator/>
      </w:r>
    </w:p>
  </w:footnote>
  <w:footnote w:type="continuationNotice" w:id="1">
    <w:p w14:paraId="5CF5268F" w14:textId="77777777" w:rsidR="005E1F56" w:rsidRDefault="005E1F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3AD4" w14:textId="77777777" w:rsidR="003560FE" w:rsidRPr="00AF7609" w:rsidRDefault="003560FE" w:rsidP="00EC263E">
    <w:pPr>
      <w:ind w:left="993" w:hanging="993"/>
      <w:rPr>
        <w:rFonts w:cs="Arial"/>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E207" w14:textId="77777777" w:rsidR="003560FE" w:rsidRDefault="004A23D1" w:rsidP="00240D9A">
    <w:pPr>
      <w:pStyle w:val="Intestazione"/>
      <w:tabs>
        <w:tab w:val="clear" w:pos="4819"/>
        <w:tab w:val="clear" w:pos="9638"/>
        <w:tab w:val="left" w:pos="5599"/>
        <w:tab w:val="left" w:pos="5910"/>
      </w:tabs>
      <w:ind w:firstLine="0"/>
      <w:rPr>
        <w:rFonts w:ascii="Arial" w:hAnsi="Arial" w:cs="Arial"/>
        <w:sz w:val="24"/>
        <w:szCs w:val="24"/>
      </w:rPr>
    </w:pPr>
    <w:r>
      <w:rPr>
        <w:rFonts w:ascii="Arial" w:hAnsi="Arial" w:cs="Arial"/>
        <w:noProof/>
        <w:sz w:val="24"/>
        <w:szCs w:val="24"/>
        <w:lang w:eastAsia="it-IT"/>
      </w:rPr>
      <w:drawing>
        <wp:anchor distT="0" distB="0" distL="114300" distR="114300" simplePos="0" relativeHeight="251657216" behindDoc="0" locked="0" layoutInCell="1" allowOverlap="1" wp14:anchorId="4A33D5F5" wp14:editId="762F7239">
          <wp:simplePos x="0" y="0"/>
          <wp:positionH relativeFrom="column">
            <wp:posOffset>-3810</wp:posOffset>
          </wp:positionH>
          <wp:positionV relativeFrom="paragraph">
            <wp:posOffset>2413</wp:posOffset>
          </wp:positionV>
          <wp:extent cx="3209925" cy="400050"/>
          <wp:effectExtent l="0" t="0" r="9525" b="0"/>
          <wp:wrapNone/>
          <wp:docPr id="1" name="Immagine 1" descr="logofederalberghioutlin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federalberghioutline_bl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400050"/>
                  </a:xfrm>
                  <a:prstGeom prst="rect">
                    <a:avLst/>
                  </a:prstGeom>
                  <a:noFill/>
                  <a:ln>
                    <a:noFill/>
                  </a:ln>
                </pic:spPr>
              </pic:pic>
            </a:graphicData>
          </a:graphic>
        </wp:anchor>
      </w:drawing>
    </w:r>
  </w:p>
  <w:p w14:paraId="1C511B49" w14:textId="77777777" w:rsidR="003560FE" w:rsidRDefault="003560FE" w:rsidP="00970CDB">
    <w:pPr>
      <w:pStyle w:val="Intestazione"/>
      <w:ind w:firstLine="0"/>
      <w:rPr>
        <w:rFonts w:ascii="Arial" w:hAnsi="Arial" w:cs="Arial"/>
        <w:sz w:val="24"/>
        <w:szCs w:val="24"/>
      </w:rPr>
    </w:pPr>
  </w:p>
  <w:p w14:paraId="3C744F7C" w14:textId="0B3E9CB7" w:rsidR="003560FE" w:rsidRPr="007E17B8" w:rsidRDefault="003560FE" w:rsidP="00911677">
    <w:pPr>
      <w:pStyle w:val="Intestazione"/>
      <w:spacing w:after="120"/>
      <w:jc w:val="right"/>
      <w:rPr>
        <w:rFonts w:ascii="Arial" w:hAnsi="Arial" w:cs="Arial"/>
        <w:sz w:val="24"/>
        <w:szCs w:val="24"/>
      </w:rPr>
    </w:pPr>
    <w:r w:rsidRPr="007E17B8">
      <w:rPr>
        <w:rFonts w:ascii="Arial" w:hAnsi="Arial" w:cs="Arial"/>
        <w:sz w:val="24"/>
        <w:szCs w:val="24"/>
      </w:rPr>
      <w:tab/>
      <w:t>Roma,</w:t>
    </w:r>
    <w:r w:rsidR="00B54B61">
      <w:rPr>
        <w:rFonts w:ascii="Arial" w:hAnsi="Arial" w:cs="Arial"/>
        <w:sz w:val="24"/>
        <w:szCs w:val="24"/>
      </w:rPr>
      <w:t xml:space="preserve"> </w:t>
    </w:r>
    <w:r w:rsidR="00477184">
      <w:rPr>
        <w:rFonts w:ascii="Arial" w:hAnsi="Arial" w:cs="Arial"/>
        <w:sz w:val="24"/>
        <w:szCs w:val="24"/>
      </w:rPr>
      <w:t>6</w:t>
    </w:r>
    <w:r w:rsidR="00185CED">
      <w:rPr>
        <w:rFonts w:ascii="Arial" w:hAnsi="Arial" w:cs="Arial"/>
        <w:sz w:val="24"/>
        <w:szCs w:val="24"/>
      </w:rPr>
      <w:t xml:space="preserve"> dicembre </w:t>
    </w:r>
    <w:r w:rsidR="00307E46" w:rsidRPr="007E17B8">
      <w:rPr>
        <w:rFonts w:ascii="Arial" w:hAnsi="Arial" w:cs="Arial"/>
        <w:sz w:val="24"/>
        <w:szCs w:val="24"/>
      </w:rPr>
      <w:t>2017</w:t>
    </w:r>
  </w:p>
  <w:p w14:paraId="3BA8AB4F" w14:textId="77777777" w:rsidR="00FC5569" w:rsidRDefault="00FC5569" w:rsidP="00911677">
    <w:pPr>
      <w:pStyle w:val="Intestazione"/>
      <w:tabs>
        <w:tab w:val="center" w:pos="1701"/>
      </w:tabs>
      <w:spacing w:after="120"/>
      <w:ind w:firstLine="0"/>
      <w:jc w:val="center"/>
      <w:rPr>
        <w:rFonts w:ascii="Arial" w:hAnsi="Arial"/>
        <w:b/>
        <w:sz w:val="32"/>
        <w:szCs w:val="32"/>
        <w:u w:val="single"/>
      </w:rPr>
    </w:pPr>
  </w:p>
  <w:p w14:paraId="6692D322" w14:textId="0179E090" w:rsidR="003560FE" w:rsidRPr="00B84369" w:rsidRDefault="003560FE" w:rsidP="00911677">
    <w:pPr>
      <w:pStyle w:val="Intestazione"/>
      <w:tabs>
        <w:tab w:val="center" w:pos="1701"/>
      </w:tabs>
      <w:spacing w:after="120"/>
      <w:ind w:firstLine="0"/>
      <w:jc w:val="center"/>
      <w:rPr>
        <w:rFonts w:ascii="Arial" w:hAnsi="Arial"/>
        <w:b/>
        <w:sz w:val="32"/>
        <w:szCs w:val="32"/>
        <w:u w:val="single"/>
      </w:rPr>
    </w:pPr>
    <w:r w:rsidRPr="00B84369">
      <w:rPr>
        <w:rFonts w:ascii="Arial" w:hAnsi="Arial"/>
        <w:b/>
        <w:sz w:val="32"/>
        <w:szCs w:val="32"/>
        <w:u w:val="single"/>
      </w:rPr>
      <w:t>COMUNICATO STAMPA</w:t>
    </w:r>
  </w:p>
  <w:p w14:paraId="7C423D08" w14:textId="77777777" w:rsidR="008F2E7C" w:rsidRPr="00EB7426" w:rsidRDefault="008F2E7C" w:rsidP="00911677">
    <w:pPr>
      <w:pStyle w:val="Intestazione"/>
      <w:spacing w:after="120"/>
      <w:ind w:firstLine="0"/>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A5B9D"/>
    <w:multiLevelType w:val="hybridMultilevel"/>
    <w:tmpl w:val="20DC0DC4"/>
    <w:lvl w:ilvl="0" w:tplc="BE427424">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4E"/>
    <w:rsid w:val="00024694"/>
    <w:rsid w:val="00024E9F"/>
    <w:rsid w:val="00027A70"/>
    <w:rsid w:val="00031504"/>
    <w:rsid w:val="00031833"/>
    <w:rsid w:val="00037DFB"/>
    <w:rsid w:val="00041221"/>
    <w:rsid w:val="00041B4F"/>
    <w:rsid w:val="0004391B"/>
    <w:rsid w:val="00050913"/>
    <w:rsid w:val="000516D6"/>
    <w:rsid w:val="00057333"/>
    <w:rsid w:val="000A5BD3"/>
    <w:rsid w:val="000C5AF5"/>
    <w:rsid w:val="000D4B8E"/>
    <w:rsid w:val="00105CBE"/>
    <w:rsid w:val="00122D7E"/>
    <w:rsid w:val="00123DF6"/>
    <w:rsid w:val="001273F6"/>
    <w:rsid w:val="00137A3B"/>
    <w:rsid w:val="00146B70"/>
    <w:rsid w:val="00154697"/>
    <w:rsid w:val="0016001E"/>
    <w:rsid w:val="001610B1"/>
    <w:rsid w:val="00170D05"/>
    <w:rsid w:val="00185CED"/>
    <w:rsid w:val="001876A9"/>
    <w:rsid w:val="001935A9"/>
    <w:rsid w:val="001A1F67"/>
    <w:rsid w:val="001A54B6"/>
    <w:rsid w:val="001B2E4F"/>
    <w:rsid w:val="001C19E9"/>
    <w:rsid w:val="001D34E3"/>
    <w:rsid w:val="001D6FF8"/>
    <w:rsid w:val="00200A00"/>
    <w:rsid w:val="00225651"/>
    <w:rsid w:val="00240D9A"/>
    <w:rsid w:val="00241520"/>
    <w:rsid w:val="0026050D"/>
    <w:rsid w:val="002640BD"/>
    <w:rsid w:val="00271F44"/>
    <w:rsid w:val="0028649D"/>
    <w:rsid w:val="00296D70"/>
    <w:rsid w:val="002A1621"/>
    <w:rsid w:val="002B2A7C"/>
    <w:rsid w:val="002D3AF4"/>
    <w:rsid w:val="002D49E4"/>
    <w:rsid w:val="002D6250"/>
    <w:rsid w:val="002E0372"/>
    <w:rsid w:val="002F2EA0"/>
    <w:rsid w:val="003009EE"/>
    <w:rsid w:val="00307E46"/>
    <w:rsid w:val="00315368"/>
    <w:rsid w:val="00346363"/>
    <w:rsid w:val="00347DBE"/>
    <w:rsid w:val="003560FE"/>
    <w:rsid w:val="003626E9"/>
    <w:rsid w:val="00376F1E"/>
    <w:rsid w:val="00377908"/>
    <w:rsid w:val="00377DDC"/>
    <w:rsid w:val="00380821"/>
    <w:rsid w:val="00390DBB"/>
    <w:rsid w:val="00390F16"/>
    <w:rsid w:val="003933E1"/>
    <w:rsid w:val="00397B3C"/>
    <w:rsid w:val="003A182C"/>
    <w:rsid w:val="003B79CD"/>
    <w:rsid w:val="003E088D"/>
    <w:rsid w:val="003E21B0"/>
    <w:rsid w:val="003E6B58"/>
    <w:rsid w:val="003F0B06"/>
    <w:rsid w:val="00420E2A"/>
    <w:rsid w:val="00433C92"/>
    <w:rsid w:val="00440114"/>
    <w:rsid w:val="004413BC"/>
    <w:rsid w:val="00441865"/>
    <w:rsid w:val="00442D5A"/>
    <w:rsid w:val="004450AA"/>
    <w:rsid w:val="00454FA1"/>
    <w:rsid w:val="0047622D"/>
    <w:rsid w:val="00477184"/>
    <w:rsid w:val="00484095"/>
    <w:rsid w:val="00486BF9"/>
    <w:rsid w:val="004A23D1"/>
    <w:rsid w:val="004A44B8"/>
    <w:rsid w:val="004A5988"/>
    <w:rsid w:val="004B077C"/>
    <w:rsid w:val="004E3382"/>
    <w:rsid w:val="0050544B"/>
    <w:rsid w:val="00512B24"/>
    <w:rsid w:val="00516556"/>
    <w:rsid w:val="00520485"/>
    <w:rsid w:val="00527292"/>
    <w:rsid w:val="00527674"/>
    <w:rsid w:val="005332A8"/>
    <w:rsid w:val="00540844"/>
    <w:rsid w:val="00556627"/>
    <w:rsid w:val="00561320"/>
    <w:rsid w:val="005645E7"/>
    <w:rsid w:val="00585409"/>
    <w:rsid w:val="00585B77"/>
    <w:rsid w:val="00586491"/>
    <w:rsid w:val="00590E4E"/>
    <w:rsid w:val="005915CB"/>
    <w:rsid w:val="005A07C9"/>
    <w:rsid w:val="005B339A"/>
    <w:rsid w:val="005B63E6"/>
    <w:rsid w:val="005B78BC"/>
    <w:rsid w:val="005C29BA"/>
    <w:rsid w:val="005E09D6"/>
    <w:rsid w:val="005E1F56"/>
    <w:rsid w:val="005E6605"/>
    <w:rsid w:val="005F5E4F"/>
    <w:rsid w:val="00612779"/>
    <w:rsid w:val="006138D6"/>
    <w:rsid w:val="00622467"/>
    <w:rsid w:val="0062687F"/>
    <w:rsid w:val="00634028"/>
    <w:rsid w:val="00642F3B"/>
    <w:rsid w:val="006447AF"/>
    <w:rsid w:val="00651572"/>
    <w:rsid w:val="00654529"/>
    <w:rsid w:val="00664101"/>
    <w:rsid w:val="00666DA1"/>
    <w:rsid w:val="00667336"/>
    <w:rsid w:val="00696953"/>
    <w:rsid w:val="006A25D4"/>
    <w:rsid w:val="006C6E9A"/>
    <w:rsid w:val="006D63B9"/>
    <w:rsid w:val="006E6305"/>
    <w:rsid w:val="006F064E"/>
    <w:rsid w:val="00736D8C"/>
    <w:rsid w:val="00745D4D"/>
    <w:rsid w:val="00746AE6"/>
    <w:rsid w:val="0075280B"/>
    <w:rsid w:val="007606D3"/>
    <w:rsid w:val="00766A3F"/>
    <w:rsid w:val="00767CE6"/>
    <w:rsid w:val="00771A7A"/>
    <w:rsid w:val="0077517C"/>
    <w:rsid w:val="00782146"/>
    <w:rsid w:val="00790864"/>
    <w:rsid w:val="007A4938"/>
    <w:rsid w:val="007B3FEF"/>
    <w:rsid w:val="007C7ACE"/>
    <w:rsid w:val="007E17B8"/>
    <w:rsid w:val="007E36E3"/>
    <w:rsid w:val="007F3731"/>
    <w:rsid w:val="007F3DFB"/>
    <w:rsid w:val="007F50E8"/>
    <w:rsid w:val="0080631A"/>
    <w:rsid w:val="00811A1E"/>
    <w:rsid w:val="0081449B"/>
    <w:rsid w:val="008358EA"/>
    <w:rsid w:val="008460FC"/>
    <w:rsid w:val="00851C43"/>
    <w:rsid w:val="0086234C"/>
    <w:rsid w:val="008650D4"/>
    <w:rsid w:val="00877B43"/>
    <w:rsid w:val="00880A59"/>
    <w:rsid w:val="0089240A"/>
    <w:rsid w:val="008A0371"/>
    <w:rsid w:val="008A158B"/>
    <w:rsid w:val="008B3D4D"/>
    <w:rsid w:val="008B4031"/>
    <w:rsid w:val="008D3538"/>
    <w:rsid w:val="008F2E7C"/>
    <w:rsid w:val="00901E0A"/>
    <w:rsid w:val="00905850"/>
    <w:rsid w:val="00911677"/>
    <w:rsid w:val="00915F20"/>
    <w:rsid w:val="00921678"/>
    <w:rsid w:val="00924346"/>
    <w:rsid w:val="009400C1"/>
    <w:rsid w:val="009507E9"/>
    <w:rsid w:val="00954754"/>
    <w:rsid w:val="00962266"/>
    <w:rsid w:val="00965D0B"/>
    <w:rsid w:val="00970CDB"/>
    <w:rsid w:val="0097338E"/>
    <w:rsid w:val="00992A48"/>
    <w:rsid w:val="00996D65"/>
    <w:rsid w:val="009A08CC"/>
    <w:rsid w:val="009A79E2"/>
    <w:rsid w:val="009B1B55"/>
    <w:rsid w:val="009B27F6"/>
    <w:rsid w:val="009D16AF"/>
    <w:rsid w:val="009D21D1"/>
    <w:rsid w:val="009E33CD"/>
    <w:rsid w:val="009F1A69"/>
    <w:rsid w:val="009F3D33"/>
    <w:rsid w:val="009F6A5B"/>
    <w:rsid w:val="00A35001"/>
    <w:rsid w:val="00A42D76"/>
    <w:rsid w:val="00A43829"/>
    <w:rsid w:val="00A475B2"/>
    <w:rsid w:val="00A47D9E"/>
    <w:rsid w:val="00A56D13"/>
    <w:rsid w:val="00A76711"/>
    <w:rsid w:val="00A76D56"/>
    <w:rsid w:val="00A81829"/>
    <w:rsid w:val="00A92FAD"/>
    <w:rsid w:val="00AA44DB"/>
    <w:rsid w:val="00AB1AA5"/>
    <w:rsid w:val="00AD0BD2"/>
    <w:rsid w:val="00AD7334"/>
    <w:rsid w:val="00AE5272"/>
    <w:rsid w:val="00AE75FA"/>
    <w:rsid w:val="00AF51C4"/>
    <w:rsid w:val="00AF7609"/>
    <w:rsid w:val="00AF7EDA"/>
    <w:rsid w:val="00B01C69"/>
    <w:rsid w:val="00B01EAC"/>
    <w:rsid w:val="00B11C2B"/>
    <w:rsid w:val="00B2053A"/>
    <w:rsid w:val="00B3381E"/>
    <w:rsid w:val="00B54B61"/>
    <w:rsid w:val="00B54D2F"/>
    <w:rsid w:val="00B55A5B"/>
    <w:rsid w:val="00B60863"/>
    <w:rsid w:val="00B7775B"/>
    <w:rsid w:val="00B84369"/>
    <w:rsid w:val="00B86E3C"/>
    <w:rsid w:val="00B87110"/>
    <w:rsid w:val="00B94625"/>
    <w:rsid w:val="00B96962"/>
    <w:rsid w:val="00BB3F9F"/>
    <w:rsid w:val="00BC2D3D"/>
    <w:rsid w:val="00BF12F9"/>
    <w:rsid w:val="00BF4EC1"/>
    <w:rsid w:val="00BF7446"/>
    <w:rsid w:val="00C061AC"/>
    <w:rsid w:val="00C07777"/>
    <w:rsid w:val="00C3161B"/>
    <w:rsid w:val="00C34D85"/>
    <w:rsid w:val="00C37876"/>
    <w:rsid w:val="00C4054C"/>
    <w:rsid w:val="00C54A55"/>
    <w:rsid w:val="00C61144"/>
    <w:rsid w:val="00C65E70"/>
    <w:rsid w:val="00C74278"/>
    <w:rsid w:val="00C81A6F"/>
    <w:rsid w:val="00CA0731"/>
    <w:rsid w:val="00CB748B"/>
    <w:rsid w:val="00CC3B2D"/>
    <w:rsid w:val="00CC7B9A"/>
    <w:rsid w:val="00CF627D"/>
    <w:rsid w:val="00D25C99"/>
    <w:rsid w:val="00D31A67"/>
    <w:rsid w:val="00D512D8"/>
    <w:rsid w:val="00D514A1"/>
    <w:rsid w:val="00D6005F"/>
    <w:rsid w:val="00D64F06"/>
    <w:rsid w:val="00D7254E"/>
    <w:rsid w:val="00D777C9"/>
    <w:rsid w:val="00D83027"/>
    <w:rsid w:val="00D83CF6"/>
    <w:rsid w:val="00D858E7"/>
    <w:rsid w:val="00DA7B4E"/>
    <w:rsid w:val="00DB6460"/>
    <w:rsid w:val="00DD07B2"/>
    <w:rsid w:val="00DD1F6C"/>
    <w:rsid w:val="00DD444F"/>
    <w:rsid w:val="00DD7942"/>
    <w:rsid w:val="00DF0EDE"/>
    <w:rsid w:val="00DF131A"/>
    <w:rsid w:val="00DF50EA"/>
    <w:rsid w:val="00E12D43"/>
    <w:rsid w:val="00E30DE6"/>
    <w:rsid w:val="00E34DC7"/>
    <w:rsid w:val="00E40721"/>
    <w:rsid w:val="00E444CE"/>
    <w:rsid w:val="00E52DC1"/>
    <w:rsid w:val="00E67145"/>
    <w:rsid w:val="00E700BA"/>
    <w:rsid w:val="00E82A41"/>
    <w:rsid w:val="00E83048"/>
    <w:rsid w:val="00E8594F"/>
    <w:rsid w:val="00E90626"/>
    <w:rsid w:val="00E90F0A"/>
    <w:rsid w:val="00E94B86"/>
    <w:rsid w:val="00EA26CB"/>
    <w:rsid w:val="00EA7C00"/>
    <w:rsid w:val="00EB1059"/>
    <w:rsid w:val="00EB7426"/>
    <w:rsid w:val="00EC263E"/>
    <w:rsid w:val="00EC508A"/>
    <w:rsid w:val="00EC6E90"/>
    <w:rsid w:val="00ED0338"/>
    <w:rsid w:val="00F25352"/>
    <w:rsid w:val="00F371E0"/>
    <w:rsid w:val="00F63FCA"/>
    <w:rsid w:val="00F67AC9"/>
    <w:rsid w:val="00F92BF9"/>
    <w:rsid w:val="00FB1F8A"/>
    <w:rsid w:val="00FB7892"/>
    <w:rsid w:val="00FC0D93"/>
    <w:rsid w:val="00FC5569"/>
    <w:rsid w:val="00FC7397"/>
    <w:rsid w:val="00FD3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2072"/>
  <w15:docId w15:val="{6CBBBAFD-0C38-4E32-85DE-D5483AAA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CDB"/>
    <w:pPr>
      <w:spacing w:after="0" w:line="240" w:lineRule="auto"/>
      <w:ind w:firstLine="1021"/>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1A7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71A7A"/>
  </w:style>
  <w:style w:type="paragraph" w:styleId="Pidipagina">
    <w:name w:val="footer"/>
    <w:basedOn w:val="Normale"/>
    <w:link w:val="PidipaginaCarattere"/>
    <w:uiPriority w:val="99"/>
    <w:unhideWhenUsed/>
    <w:rsid w:val="00771A7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71A7A"/>
  </w:style>
  <w:style w:type="character" w:styleId="Collegamentoipertestuale">
    <w:name w:val="Hyperlink"/>
    <w:basedOn w:val="Carpredefinitoparagrafo"/>
    <w:uiPriority w:val="99"/>
    <w:unhideWhenUsed/>
    <w:rsid w:val="00970CDB"/>
    <w:rPr>
      <w:color w:val="0563C1" w:themeColor="hyperlink"/>
      <w:u w:val="single"/>
    </w:rPr>
  </w:style>
  <w:style w:type="paragraph" w:styleId="Testofumetto">
    <w:name w:val="Balloon Text"/>
    <w:basedOn w:val="Normale"/>
    <w:link w:val="TestofumettoCarattere"/>
    <w:uiPriority w:val="99"/>
    <w:semiHidden/>
    <w:unhideWhenUsed/>
    <w:rsid w:val="00E30D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DE6"/>
    <w:rPr>
      <w:rFonts w:ascii="Tahoma" w:eastAsia="Times New Roman" w:hAnsi="Tahoma" w:cs="Tahoma"/>
      <w:sz w:val="16"/>
      <w:szCs w:val="16"/>
      <w:lang w:eastAsia="it-IT"/>
    </w:rPr>
  </w:style>
  <w:style w:type="paragraph" w:styleId="Paragrafoelenco">
    <w:name w:val="List Paragraph"/>
    <w:basedOn w:val="Normale"/>
    <w:uiPriority w:val="34"/>
    <w:qFormat/>
    <w:rsid w:val="007E1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6139">
      <w:bodyDiv w:val="1"/>
      <w:marLeft w:val="0"/>
      <w:marRight w:val="0"/>
      <w:marTop w:val="0"/>
      <w:marBottom w:val="0"/>
      <w:divBdr>
        <w:top w:val="none" w:sz="0" w:space="0" w:color="auto"/>
        <w:left w:val="none" w:sz="0" w:space="0" w:color="auto"/>
        <w:bottom w:val="none" w:sz="0" w:space="0" w:color="auto"/>
        <w:right w:val="none" w:sz="0" w:space="0" w:color="auto"/>
      </w:divBdr>
    </w:div>
    <w:div w:id="1164079407">
      <w:bodyDiv w:val="1"/>
      <w:marLeft w:val="0"/>
      <w:marRight w:val="0"/>
      <w:marTop w:val="0"/>
      <w:marBottom w:val="0"/>
      <w:divBdr>
        <w:top w:val="none" w:sz="0" w:space="0" w:color="auto"/>
        <w:left w:val="none" w:sz="0" w:space="0" w:color="auto"/>
        <w:bottom w:val="none" w:sz="0" w:space="0" w:color="auto"/>
        <w:right w:val="none" w:sz="0" w:space="0" w:color="auto"/>
      </w:divBdr>
    </w:div>
    <w:div w:id="1515917938">
      <w:bodyDiv w:val="1"/>
      <w:marLeft w:val="0"/>
      <w:marRight w:val="0"/>
      <w:marTop w:val="0"/>
      <w:marBottom w:val="0"/>
      <w:divBdr>
        <w:top w:val="none" w:sz="0" w:space="0" w:color="auto"/>
        <w:left w:val="none" w:sz="0" w:space="0" w:color="auto"/>
        <w:bottom w:val="none" w:sz="0" w:space="0" w:color="auto"/>
        <w:right w:val="none" w:sz="0" w:space="0" w:color="auto"/>
      </w:divBdr>
    </w:div>
    <w:div w:id="1813912696">
      <w:bodyDiv w:val="1"/>
      <w:marLeft w:val="0"/>
      <w:marRight w:val="0"/>
      <w:marTop w:val="0"/>
      <w:marBottom w:val="0"/>
      <w:divBdr>
        <w:top w:val="none" w:sz="0" w:space="0" w:color="auto"/>
        <w:left w:val="none" w:sz="0" w:space="0" w:color="auto"/>
        <w:bottom w:val="none" w:sz="0" w:space="0" w:color="auto"/>
        <w:right w:val="none" w:sz="0" w:space="0" w:color="auto"/>
      </w:divBdr>
    </w:div>
    <w:div w:id="19160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o\Downloads\Modello_comunicati%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2003e8-ee4e-4182-9e66-4c90256c9f25">FEDERALB-243-472</_dlc_DocId>
    <_dlc_DocIdUrl xmlns="dd2003e8-ee4e-4182-9e66-4c90256c9f25">
      <Url>http://intranet.federalberghi.it:8000/pubblicazioni/_layouts/15/DocIdRedir.aspx?ID=FEDERALB-243-472</Url>
      <Description>FEDERALB-243-472</Description>
    </_dlc_DocIdUrl>
    <Descrizione xmlns="f24d3693-761f-4a0a-a3db-7a35dd342fc1" xsi:nil="true"/>
    <Pagina xmlns="f24d3693-761f-4a0a-a3db-7a35dd342fc1" xsi:nil="true"/>
    <Tipo_x0020_File xmlns="f24d3693-761f-4a0a-a3db-7a35dd342fc1">Documento</Tipo_x0020_File>
    <UrlImmagine xmlns="f24d3693-761f-4a0a-a3db-7a35dd342fc1" xsi:nil="true"/>
    <Titolo_x0020_Comunicato xmlns="f24d3693-761f-4a0a-a3db-7a35dd342fc1" xsi:nil="true"/>
    <Pubblicato xmlns="f24d3693-761f-4a0a-a3db-7a35dd342fc1">true</Pubblicato>
    <TaxCatchAll xmlns="dd2003e8-ee4e-4182-9e66-4c90256c9f25"/>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7E3A3F36C58C448FD0FBD8815CF023" ma:contentTypeVersion="35" ma:contentTypeDescription="Creare un nuovo documento." ma:contentTypeScope="" ma:versionID="954590156336df4cab595136cebe22a2">
  <xsd:schema xmlns:xsd="http://www.w3.org/2001/XMLSchema" xmlns:xs="http://www.w3.org/2001/XMLSchema" xmlns:p="http://schemas.microsoft.com/office/2006/metadata/properties" xmlns:ns2="dd2003e8-ee4e-4182-9e66-4c90256c9f25" xmlns:ns3="f24d3693-761f-4a0a-a3db-7a35dd342fc1" targetNamespace="http://schemas.microsoft.com/office/2006/metadata/properties" ma:root="true" ma:fieldsID="a62c3d443cc8500427ced911cecc175a" ns2:_="" ns3:_="">
    <xsd:import namespace="dd2003e8-ee4e-4182-9e66-4c90256c9f25"/>
    <xsd:import namespace="f24d3693-761f-4a0a-a3db-7a35dd342fc1"/>
    <xsd:element name="properties">
      <xsd:complexType>
        <xsd:sequence>
          <xsd:element name="documentManagement">
            <xsd:complexType>
              <xsd:all>
                <xsd:element ref="ns2:_dlc_DocId" minOccurs="0"/>
                <xsd:element ref="ns2:_dlc_DocIdUrl" minOccurs="0"/>
                <xsd:element ref="ns2:_dlc_DocIdPersistId" minOccurs="0"/>
                <xsd:element ref="ns3:Titolo_x0020_Comunicato" minOccurs="0"/>
                <xsd:element ref="ns3:Descrizione" minOccurs="0"/>
                <xsd:element ref="ns3:Tipo_x0020_File" minOccurs="0"/>
                <xsd:element ref="ns2:TaxCatchAll" minOccurs="0"/>
                <xsd:element ref="ns3:Pagina" minOccurs="0"/>
                <xsd:element ref="ns3:UrlImmagine" minOccurs="0"/>
                <xsd:element ref="ns3:Pubblic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003e8-ee4e-4182-9e66-4c90256c9f2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element name="TaxCatchAll" ma:index="14" nillable="true" ma:displayName="Colonna per tutti i valori di tassonomia" ma:hidden="true" ma:list="{70f68d7f-1625-4f2d-a060-310654ca9bca}" ma:internalName="TaxCatchAll" ma:showField="CatchAllData" ma:web="dd2003e8-ee4e-4182-9e66-4c90256c9f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d3693-761f-4a0a-a3db-7a35dd342fc1" elementFormDefault="qualified">
    <xsd:import namespace="http://schemas.microsoft.com/office/2006/documentManagement/types"/>
    <xsd:import namespace="http://schemas.microsoft.com/office/infopath/2007/PartnerControls"/>
    <xsd:element name="Titolo_x0020_Comunicato" ma:index="11" nillable="true" ma:displayName="Titolo_new" ma:description="è il titolo che appare nel box in anteprima in home page" ma:internalName="Titolo_x0020_Comunicato">
      <xsd:simpleType>
        <xsd:restriction base="dms:Text">
          <xsd:maxLength value="255"/>
        </xsd:restriction>
      </xsd:simpleType>
    </xsd:element>
    <xsd:element name="Descrizione" ma:index="12" nillable="true" ma:displayName="Testo" ma:hidden="true" ma:internalName="Descrizione" ma:readOnly="false">
      <xsd:simpleType>
        <xsd:restriction base="dms:Note"/>
      </xsd:simpleType>
    </xsd:element>
    <xsd:element name="Tipo_x0020_File" ma:index="13" nillable="true" ma:displayName="Tipo File" ma:default="Allegato" ma:format="Dropdown" ma:internalName="Tipo_x0020_File">
      <xsd:simpleType>
        <xsd:restriction base="dms:Choice">
          <xsd:enumeration value="Documento"/>
          <xsd:enumeration value="Allegato"/>
        </xsd:restriction>
      </xsd:simpleType>
    </xsd:element>
    <xsd:element name="Pagina" ma:index="15" nillable="true" ma:displayName="Pagina" ma:hidden="true" ma:internalName="Pagina" ma:readOnly="false">
      <xsd:simpleType>
        <xsd:restriction base="dms:Text">
          <xsd:maxLength value="255"/>
        </xsd:restriction>
      </xsd:simpleType>
    </xsd:element>
    <xsd:element name="UrlImmagine" ma:index="16" nillable="true" ma:displayName="UrlImmagine" ma:hidden="true" ma:internalName="UrlImmagine" ma:readOnly="false">
      <xsd:simpleType>
        <xsd:restriction base="dms:Text">
          <xsd:maxLength value="255"/>
        </xsd:restriction>
      </xsd:simpleType>
    </xsd:element>
    <xsd:element name="Pubblicato" ma:index="17" nillable="true" ma:displayName="Pubblicato" ma:default="0" ma:internalName="Pubblica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C6121-AC28-453B-B99A-3D684AB19B30}"/>
</file>

<file path=customXml/itemProps2.xml><?xml version="1.0" encoding="utf-8"?>
<ds:datastoreItem xmlns:ds="http://schemas.openxmlformats.org/officeDocument/2006/customXml" ds:itemID="{A4887AE4-C268-439D-88AD-EE3D2F65B222}"/>
</file>

<file path=customXml/itemProps3.xml><?xml version="1.0" encoding="utf-8"?>
<ds:datastoreItem xmlns:ds="http://schemas.openxmlformats.org/officeDocument/2006/customXml" ds:itemID="{41E0BD0E-7EBF-44F2-9724-85F18B6023AB}"/>
</file>

<file path=customXml/itemProps4.xml><?xml version="1.0" encoding="utf-8"?>
<ds:datastoreItem xmlns:ds="http://schemas.openxmlformats.org/officeDocument/2006/customXml" ds:itemID="{D39AFB14-4F96-40EE-ADC6-7D882DC6288C}"/>
</file>

<file path=customXml/itemProps5.xml><?xml version="1.0" encoding="utf-8"?>
<ds:datastoreItem xmlns:ds="http://schemas.openxmlformats.org/officeDocument/2006/customXml" ds:itemID="{ACD9A30C-8DA6-433C-8493-61F42B2DADE2}"/>
</file>

<file path=docProps/app.xml><?xml version="1.0" encoding="utf-8"?>
<Properties xmlns="http://schemas.openxmlformats.org/officeDocument/2006/extended-properties" xmlns:vt="http://schemas.openxmlformats.org/officeDocument/2006/docPropsVTypes">
  <Template>Modello_comunicati (1)</Template>
  <TotalTime>0</TotalTime>
  <Pages>2</Pages>
  <Words>767</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comunicato stampa - Airbnb carta ricaricabile per sfuggire al fisco francese.docx</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 ponte 8 dicembre 2017</dc:title>
  <dc:subject/>
  <dc:creator>Manuela Di Federico</dc:creator>
  <cp:keywords/>
  <dc:description/>
  <cp:lastModifiedBy>Barbara Bonura</cp:lastModifiedBy>
  <cp:revision>2</cp:revision>
  <cp:lastPrinted>2017-12-05T16:24:00Z</cp:lastPrinted>
  <dcterms:created xsi:type="dcterms:W3CDTF">2017-12-05T16:37:00Z</dcterms:created>
  <dcterms:modified xsi:type="dcterms:W3CDTF">2017-12-05T16:37:00Z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0x0101002B7E3A3F36C58C448FD0FBD8815CF023</vt:lpwstr>
  </property>
  <property fmtid="{D5CDD505-2E9C-101B-9397-08002B2CF9AE}" pid="3" name="_dlc_DocIdItemGuid">
    <vt:lpwstr>d4a30fc8-3c8c-4680-9704-f90f9b2050d3</vt:lpwstr>
  </property>
  <property fmtid="{D5CDD505-2E9C-101B-9397-08002B2CF9AE}" pid="4" name="Pubblicato">
    <vt:bool>true</vt:bool>
  </property>
  <property fmtid="{D5CDD505-2E9C-101B-9397-08002B2CF9AE}" pid="5" name="Data Pubblicazione">
    <vt:filetime>2017-12-05T23:00:00Z</vt:filetime>
  </property>
</Properties>
</file>